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990"/>
        <w:gridCol w:w="1961"/>
        <w:gridCol w:w="2910"/>
        <w:gridCol w:w="1607"/>
        <w:gridCol w:w="1720"/>
        <w:gridCol w:w="1985"/>
        <w:gridCol w:w="1768"/>
        <w:gridCol w:w="1537"/>
        <w:gridCol w:w="1376"/>
      </w:tblGrid>
      <w:tr w:rsidR="00DF4CC2" w:rsidRPr="00DF4CC2" w14:paraId="4D9D8820" w14:textId="77777777" w:rsidTr="009D2B39">
        <w:trPr>
          <w:trHeight w:val="550"/>
        </w:trPr>
        <w:tc>
          <w:tcPr>
            <w:tcW w:w="18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9235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NOVIEMBRE</w:t>
            </w:r>
          </w:p>
        </w:tc>
      </w:tr>
      <w:tr w:rsidR="009D2B39" w:rsidRPr="00DF4CC2" w14:paraId="7FB2EE9D" w14:textId="77777777" w:rsidTr="009D2B39">
        <w:trPr>
          <w:trHeight w:val="10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08BF" w14:textId="77777777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Nombre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480D" w14:textId="77777777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Cargo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EB31" w14:textId="77777777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Destino-País-Ciudad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BA27" w14:textId="77777777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Participación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2DAE" w14:textId="77777777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Fecha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38EF" w14:textId="77777777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Regreso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2908" w14:textId="3012B23E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Pasaje Aéreo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C34A" w14:textId="150B9DAB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Viático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CE3E" w14:textId="0990292A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Inscripción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EAA1" w14:textId="03B4DDBF" w:rsidR="00DF4CC2" w:rsidRPr="00DF4CC2" w:rsidRDefault="00DF4CC2" w:rsidP="00BA7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Informe</w:t>
            </w:r>
          </w:p>
        </w:tc>
      </w:tr>
      <w:tr w:rsidR="009D2B39" w:rsidRPr="00DF4CC2" w14:paraId="392F32E8" w14:textId="77777777" w:rsidTr="009D2B39">
        <w:trPr>
          <w:trHeight w:val="9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EBDC" w14:textId="79AC622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Rafael A. Robles Alonso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FCE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Departamento de Salud Bucal de la Direccion General de Salud Pública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540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90A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bookmarkStart w:id="0" w:name="RANGE!E286"/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Congreso XLIII FOCAP 2025</w:t>
            </w:r>
            <w:bookmarkEnd w:id="0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BB19" w14:textId="280F65EF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02 de noviembre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678E" w14:textId="018B7DAD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09 de noviembre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724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B/.444.50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D06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B/.2,100.00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B9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B/.450.00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AF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65BAD9C0" w14:textId="77777777" w:rsidTr="009D2B39">
        <w:trPr>
          <w:trHeight w:val="14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0CB91" w14:textId="77777777" w:rsidR="00DF4CC2" w:rsidRPr="00DF4CC2" w:rsidRDefault="00DF4CC2" w:rsidP="00DF4C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Néstor Osorio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58FD" w14:textId="77777777" w:rsidR="00DF4CC2" w:rsidRPr="00DF4CC2" w:rsidRDefault="00DF4CC2" w:rsidP="00DF4C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Depto. de Salud Radiológica, Direccion General de Salud Publica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972F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Rio de Janeiro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C58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Regional sobre el fortalecimiento de la Infraestructura Regulatoria y las Capacidades Técnicas Nacionales para la Protección Radiológica del Publico y del Medio Ambiente.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DC2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09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C32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1E5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9B8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9524" w14:textId="653DE1AF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57F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62E932F3" w14:textId="77777777" w:rsidTr="009D2B39">
        <w:trPr>
          <w:trHeight w:val="97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82F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Luis Gilberto Montalbán Iberico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7DB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Punto Focal del Convenio de Minamata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FD7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Ginebra, Suiza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6A17B" w14:textId="1207D1EA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Sexta Reunión de la Conferencia de las Partes (COP6) del Convenio de Minamata sobre el Mercurio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C5D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F6D6" w14:textId="5F6112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8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8A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del Convenio de Minamata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080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del Convenio de Minamata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D892" w14:textId="510CC198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45B0" w14:textId="716BB7E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0C0D9A49" w14:textId="77777777" w:rsidTr="009D2B39">
        <w:trPr>
          <w:trHeight w:val="10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6F1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Jamileth Cortes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A4E3" w14:textId="4C7B61BA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planificación de la Salud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8901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E4F8" w14:textId="15409CFB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Taller de Validación del plan de salud Centroamérica y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República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Dominicana 2026- 2030.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F6B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noviembre de 2025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285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13 de noviembre de 2025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8B9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EE9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867B" w14:textId="3460EE9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D747" w14:textId="05AEF945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6A489EFA" w14:textId="77777777" w:rsidTr="009D2B39">
        <w:trPr>
          <w:trHeight w:val="11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8DAF" w14:textId="249D85B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Iritzel Santamaria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C17AA" w14:textId="4A1E7E9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planificación de la salud</w:t>
            </w: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AB3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A68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C72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5CB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7C0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E951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9AED" w14:textId="0EEA3B0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290D" w14:textId="4AE801F1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2DEC2C27" w14:textId="77777777" w:rsidTr="009D2B39">
        <w:trPr>
          <w:trHeight w:val="11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7D30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Yelkys Gill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B20D" w14:textId="419F587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Provisión de Servicios de la Salud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8134" w14:textId="3E474DA2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Guatemala, La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Antigua Guatemala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719F" w14:textId="74A90A75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Reunión de Alto nivel: El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Trasplante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como parte de abordaje integral de la enfermedad renal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Crónica en los países SICA.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06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17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893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80A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950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SE-COMISCA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323D" w14:textId="19108B05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4260" w14:textId="2AB1F97D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018783FE" w14:textId="77777777" w:rsidTr="009D2B39">
        <w:trPr>
          <w:trHeight w:val="130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68E63" w14:textId="08BCEC82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Eusebia Calderon Meneses de Copete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4AF9" w14:textId="52C9DE4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Nac. De los servicios de Enfermeria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189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Rio de Janeiro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FC25" w14:textId="679F1F9F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XVII Congreso Internacional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enfermería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XI Convención Ordinaria de FEPPEN, Seminario Internacional de Investigación en Enfermeria, Seminario de liderazgo Internacional en políticas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Públicas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Enfermeria, Reunión de enfermeras Jefes de Gobierno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067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A43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357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B/.735.00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DB6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B/.1,600.00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57E9" w14:textId="2560A288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2B30" w14:textId="07480E5B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3543E27F" w14:textId="77777777" w:rsidTr="009D2B39">
        <w:trPr>
          <w:trHeight w:val="81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598D" w14:textId="725B6F74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Geni Hooker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4B7F" w14:textId="38CFB066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del Depto. De Salud y atención Integral a la Población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FAD6" w14:textId="12AF0B41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Suiza, Ginebra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CA52" w14:textId="5841A65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Quincuagésima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Sesión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Grupo de trabajo del EPU en la Oficina de las Naciones Unidas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846F" w14:textId="2A0E370D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03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453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08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70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B/.1,994.00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9C8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B/.2,500.00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83C" w14:textId="640A42D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B88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5FC5146D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03D9" w14:textId="78B28D6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Atala Milord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49E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Técnico del Depto. De Saneamiento Ambiental de la Subdireccion de Salud Ambiental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64AF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Chile, Santiago de Chile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CC6" w14:textId="4469E56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Conferencia Latinoamericana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sobre el mecanismo del Secretario General de las Naciones </w:t>
            </w:r>
            <w:r w:rsidR="00ED58EF"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Unidas (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UNSGM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 para la investigación del presunto uso de armas Químicas y Biológica.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18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44A0" w14:textId="7E62A82A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14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93E1" w14:textId="74E70F04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Mecanismo del secretario General de las Naciones Unidas (UNSGM)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BFE" w14:textId="5F37F6A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Mecanismo del secretario General de las Naciones Unidas (UNSGM)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2D2A" w14:textId="00FD40C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7F7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4278B019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758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Roman A. Añino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DDBC" w14:textId="08BFD50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Farmacéutico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Dirección de Farmacias y Drogas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4C1" w14:textId="7E7836F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Colombia,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Cartagena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Indias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C277" w14:textId="18038151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Eventos de Alto Nivel titulado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Colaboración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para una Armonización y Autosuficiencia Sanitaria en America Latina y el Caribe en el marco de la Cumbre EU- CELAC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2B7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05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651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08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5283" w14:textId="76098848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Ministerio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salud de España y Agencia Española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cooperación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Internacional para el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Desarrollo (AECID)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1F70" w14:textId="269F47A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Ministerio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salud de España y Agencia Española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cooperación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Internacional para el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Desarrollo (AECID)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0033" w14:textId="52A4499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8FA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44F5171B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773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 Ricardo Torres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35EC" w14:textId="03A84861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de la Región Metropolitana de Salud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ABFA" w14:textId="69ED63E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Suiza, Ginebra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586F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Participar en la Reunión de la conferencia de las Partes (COP11) en el CMCT de la OMS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602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C37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23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530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Fondos de tabacos/OPS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AA4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Fondos de tabacos/OPS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6B77" w14:textId="531DF39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8FDE" w14:textId="3F162EC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76729275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5063" w14:textId="510CB8F1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Jorge Aguirre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96D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 legal de la Dirección General de Salud Pública/ Pertenece a la comisión Nacional de control del Tabaco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BA3F" w14:textId="701FE80A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Suiza, Ginebra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F96D" w14:textId="379DD04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Participar en el cuarto periodo de la Reunión de las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partes (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MOP4) en el protocolo.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8BB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990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D8E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Fondos de tabacos/OPS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5E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Fondos de tabacos/OPS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76AB" w14:textId="1315B674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2E00" w14:textId="43054C7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13403C6D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9841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Pedro Contreras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B1EF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 de Salud de la Población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D9C4" w14:textId="4AA444BF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Reino de los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países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Bajos, La Haya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1A08" w14:textId="587849FD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XXVII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Autoridades Nacionales de los Estados Parte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8FF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17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595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36B2" w14:textId="3F8BCD42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Secretaria de la Organización para la Prohibición de Armas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Químicas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(OPAQ)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BF7" w14:textId="605A8471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Secretaria de la Organización para la Prohibición de Armas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Químicas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(OPAQ)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2081" w14:textId="6FCCB10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AC5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7483BE71" w14:textId="77777777" w:rsidTr="009D2B39">
        <w:trPr>
          <w:trHeight w:val="192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E064" w14:textId="1AAF533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Edgar Dominguez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180D" w14:textId="4D4A708D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Jefe del Depto. De farmacovigilancia de Medicamentos y Otros Productos para la Salud Humana y Uso Racional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medicamentos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5548" w14:textId="593BB138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México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, Zihuatanejo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8B96" w14:textId="7428D65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Ponente en el congreso Nacional de Farmacovigilancia y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tecnovigilancia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F0E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26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A29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5E2A" w14:textId="6DF1F96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Asociación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Mexicana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Farmacovigilancia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A.C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5822" w14:textId="6CCFA2DB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Asociación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Mexicana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Farmacovigilancia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A.C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F940" w14:textId="57E5D7BA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F17A" w14:textId="2791DFE0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62B6EABF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EF2E" w14:textId="22465E08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Dra. Reina Roa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BAE9" w14:textId="0092219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Directora General de Salud </w:t>
            </w:r>
            <w:proofErr w:type="spellStart"/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Publica</w:t>
            </w:r>
            <w:proofErr w:type="spellEnd"/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. Punto focal del Convenio Marco de la OMS para el control del tabaco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5894" w14:textId="011F58A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Suiza, Ginebra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2119" w14:textId="79A27EC4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Participar en la Reunión de la conferencia de las Partes (COP11) en el CMCT de la OMS                                                                                         Participar en el Cuarto periodo de la Reunión de las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Partes (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MOP4) en el Protocolo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952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noviembre de 2025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91B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noviembre de 2025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5C4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Fondos de tabacos/OPS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672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Fondos de tabacos/OPS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3EAD" w14:textId="64D6BE65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736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524C0B90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8C8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Norma Astudillo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33DE" w14:textId="1D531348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Funcionaria de la Dirección de Planificacion de Salud/Pertenece a la comisión Nacional de Control de Tabaco</w:t>
            </w: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AC2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529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54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011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94A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184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F916" w14:textId="1717603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C20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360B545E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73AC" w14:textId="6A15E48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Dr. Miguel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Jordán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5798" w14:textId="6FCD888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Funcionario del Depto. De ENT/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Pertenece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 la comisión de tabaco</w:t>
            </w: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07F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1701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4DA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2F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AE7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EEE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6A5C" w14:textId="1121C286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4615" w14:textId="573046F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54B25CED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719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Elsa Arenas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6B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enfermedades no transmisibles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2B2A" w14:textId="557F2A4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México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Monterrey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E0D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Participar en el dialogo de America Latina y el Caribe sobre reformas al sistema de Salud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931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CF85" w14:textId="29DA472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14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E5F4" w14:textId="546124EA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Consorcio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Académico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83CD" w14:textId="6CE2943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Consorcio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Académico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3839" w14:textId="721EC1E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B9FF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14D9A537" w14:textId="77777777" w:rsidTr="009D2B39">
        <w:trPr>
          <w:trHeight w:val="12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E28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Elsa Arenas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A37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enfermedades no transmisibles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673" w14:textId="21027F4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Guatemala, Antigua Guatemala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6FDE" w14:textId="7ABA1CD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XXV Reunión de la Red- Consejo Iberoamericano de Donación y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Trasplante (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RCIDT)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8C8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17 de noviembre de 2025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4B6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21 de noviembre de 2025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438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 (OPS)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343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 (OPS)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F4F5" w14:textId="7A9120D6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2AF4" w14:textId="2CA5B7F1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45B1A2A9" w14:textId="77777777" w:rsidTr="009D2B39">
        <w:trPr>
          <w:trHeight w:val="133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8E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Cesar Cuero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90E" w14:textId="564FCAE4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Presidente de la Organización Panameña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Trasplante</w:t>
            </w: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4E5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015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D1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C10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96B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93C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C95C" w14:textId="2BDEE502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9681" w14:textId="21043F9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585CD4ED" w14:textId="77777777" w:rsidTr="009D2B39">
        <w:trPr>
          <w:trHeight w:val="9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186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Carlos Chavez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9CD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 Programa de VIH/ITS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3FF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Ecuador, Quito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FE34" w14:textId="046ABA2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2° Simposio del fondo educacional de la sociedad internacional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 xml:space="preserve">Síndrome de inmunodeficiencia Adquirida (SIDA).                                                                                                                     2ª Reunión del grupo de trabajo sobre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enfermedades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avanzadas del Virus de inmunodeficiencia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Adquirida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(VIH) y mortalidad prevenible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023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15 de diciembre de 2025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9121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noviembre de 2025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07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Organización panamericana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de la Salud (OPS)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F8B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 xml:space="preserve">Organización panamericana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de la Salud (OPS)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80DC" w14:textId="490DFDB6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65D7" w14:textId="38CAF88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7B87D836" w14:textId="77777777" w:rsidTr="009D2B39">
        <w:trPr>
          <w:trHeight w:val="171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708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Dra. Sixta Arrocha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8CA4" w14:textId="5DADECFF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 de Tratamiento y Atención</w:t>
            </w: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4B11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9CB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4A7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272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CE2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410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A717" w14:textId="7469E02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1490" w14:textId="1CCA33FB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6D078AA4" w14:textId="77777777" w:rsidTr="009D2B39">
        <w:trPr>
          <w:trHeight w:val="171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9238" w14:textId="1438F3F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Anais Vargas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8E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Nacional de Control de Alimentos y Vigilancia Veterinaria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9F2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Italia, Roma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8B1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48ª Periodo de Sesiones de la Comisión del Codex Alimentarius.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328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08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86C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FB9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B/.1,660.00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255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B/.3,500.00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DF4" w14:textId="67F4CF2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B33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163261BB" w14:textId="77777777" w:rsidTr="009D2B39">
        <w:trPr>
          <w:trHeight w:val="112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95DC" w14:textId="35BD003D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Catherine Castillo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027F" w14:textId="2EBEE68C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Dpto. de Epidemiologia de la Dirección General de la Salud Publica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995A" w14:textId="614C3B6F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Marruecos, Marrakech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FC05" w14:textId="7EFD1715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6ª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Red Global del Comité Nacional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Técnico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Asesor de inmunización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BF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23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A06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C9E3" w14:textId="6C9F6026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Mundial de la Salud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CDBA" w14:textId="3938831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Mundial de la Salud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1E41" w14:textId="480A2222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7A9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2933FA8B" w14:textId="77777777" w:rsidTr="009D2B39">
        <w:trPr>
          <w:trHeight w:val="9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F91C" w14:textId="47CC5A34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Janette Miller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672A" w14:textId="05AD4D4B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Asistente del Viceministro de Salud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6E61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Costa Rica, San Jose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5AF3" w14:textId="0A34FFFE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Visita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Técnica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a la Republica de Costa Rica para conocer su sistema de compras de medicamentos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19B5" w14:textId="6BD8B4FF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25 de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noviembre de 2025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112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27 de noviembre de 2025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6A7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B/.1,125.66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4A8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B/.1,200.00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EB77" w14:textId="59D2967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FB56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1764BF9F" w14:textId="77777777" w:rsidTr="009D2B39">
        <w:trPr>
          <w:trHeight w:val="136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7A5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Xiomara E. Espino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53F4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Nac. de Medicamentos e Insumos para la Salud</w:t>
            </w: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72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DD0F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616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041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644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349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B/.1,200.00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3AB0" w14:textId="7EE38BB3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28A3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9D2B39" w:rsidRPr="00DF4CC2" w14:paraId="60EAFB04" w14:textId="77777777" w:rsidTr="009D2B39">
        <w:trPr>
          <w:trHeight w:val="13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F86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Zuleika Carbajal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3F64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Compras Especializadas de la Direccion de Medicamentos e Insumos</w:t>
            </w: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AD1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AD1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63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00C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5565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E1E0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B/.1,200.00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3493" w14:textId="7A7359DE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E251" w14:textId="364BA5FD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0E1E3E7A" w14:textId="77777777" w:rsidTr="009D2B39">
        <w:trPr>
          <w:trHeight w:val="13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E22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Dr. Ronaldo Navarro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147C" w14:textId="5381228B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Jefe del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Depto.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Organización y Desarrollo de 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Provisión</w:t>
            </w: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Servicios de Salud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B37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Costa Rica, San Jose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7F19" w14:textId="19DC8A44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Evento HIMSS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Centroamérica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- </w:t>
            </w: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Expomed</w:t>
            </w:r>
            <w:proofErr w:type="spellEnd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junto a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la Cámara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de Empresas de Salud de Costa Rica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E73B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17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3BC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19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49D8" w14:textId="0F2BBCFF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Health</w:t>
            </w:r>
            <w:proofErr w:type="spellEnd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care </w:t>
            </w: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Information</w:t>
            </w:r>
            <w:proofErr w:type="spellEnd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Management and </w:t>
            </w: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Systems</w:t>
            </w:r>
            <w:proofErr w:type="spellEnd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Society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C64D" w14:textId="1BFE2D33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Health</w:t>
            </w:r>
            <w:proofErr w:type="spellEnd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care </w:t>
            </w: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Information</w:t>
            </w:r>
            <w:proofErr w:type="spellEnd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Management and </w:t>
            </w: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Systems</w:t>
            </w:r>
            <w:proofErr w:type="spellEnd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Society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41DA" w14:textId="0118B79A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25C7" w14:textId="2C4839A8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9D2B39" w:rsidRPr="00DF4CC2" w14:paraId="1EF6099A" w14:textId="77777777" w:rsidTr="009D2B39">
        <w:trPr>
          <w:trHeight w:val="13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997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Alexis Aguilar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97E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del Depto. de Agua Potable y Obras Sanitarias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77E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24A9" w14:textId="2E7310E9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Taller Regional y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formación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para el desarrollo el desarrollo de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análisis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hidrológicos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y escenarios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climáticos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en cuencas priorizadas para la 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producción</w:t>
            </w: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 xml:space="preserve"> de agua potable.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32D9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18 de noviembre de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854D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22 de noviembre de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A5FA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Programa AKUAL y FOCARD-APS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3AD7" w14:textId="77777777" w:rsidR="00DF4CC2" w:rsidRPr="00DF4CC2" w:rsidRDefault="00DF4CC2" w:rsidP="00DF4C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</w:pPr>
            <w:r w:rsidRPr="00DF4CC2">
              <w:rPr>
                <w:rFonts w:ascii="Aptos Narrow" w:eastAsia="Times New Roman" w:hAnsi="Aptos Narrow" w:cs="Times New Roman"/>
                <w:color w:val="000000"/>
                <w:kern w:val="0"/>
                <w:lang w:eastAsia="es-PA"/>
                <w14:ligatures w14:val="none"/>
              </w:rPr>
              <w:t>Programa AKUAL y FOCARD-APS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2DD5" w14:textId="69D8AA09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3B83" w14:textId="380015F7" w:rsidR="00DF4CC2" w:rsidRPr="00DF4CC2" w:rsidRDefault="00DF4CC2" w:rsidP="00DF4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</w:tr>
    </w:tbl>
    <w:p w14:paraId="0EA397A5" w14:textId="77777777" w:rsidR="00DF4CC2" w:rsidRDefault="00DF4CC2"/>
    <w:sectPr w:rsidR="00DF4CC2" w:rsidSect="00DF4CC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C2"/>
    <w:rsid w:val="00332FCF"/>
    <w:rsid w:val="009D2B39"/>
    <w:rsid w:val="00BA72FC"/>
    <w:rsid w:val="00DF4CC2"/>
    <w:rsid w:val="00ED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6837A"/>
  <w15:chartTrackingRefBased/>
  <w15:docId w15:val="{063D7E02-BCD5-4EE7-B4E4-06FA9076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C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C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C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C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C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C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C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C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C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C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EF1F-1D25-46E7-B3E3-BC4F7A7B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1322</Words>
  <Characters>7143</Characters>
  <Application>Microsoft Office Word</Application>
  <DocSecurity>0</DocSecurity>
  <Lines>892</Lines>
  <Paragraphs>264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3</cp:revision>
  <dcterms:created xsi:type="dcterms:W3CDTF">2025-12-12T16:15:00Z</dcterms:created>
  <dcterms:modified xsi:type="dcterms:W3CDTF">2025-12-12T16:29:00Z</dcterms:modified>
</cp:coreProperties>
</file>